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D5" w:rsidRDefault="00D93DD5" w:rsidP="00D93DD5">
      <w:pPr>
        <w:spacing w:after="0" w:line="240" w:lineRule="auto"/>
        <w:jc w:val="center"/>
        <w:rPr>
          <w:b/>
          <w:sz w:val="32"/>
          <w:szCs w:val="32"/>
        </w:rPr>
      </w:pPr>
      <w:r>
        <w:rPr>
          <w:b/>
          <w:sz w:val="32"/>
          <w:szCs w:val="32"/>
        </w:rPr>
        <w:t xml:space="preserve">Attachment to the </w:t>
      </w:r>
    </w:p>
    <w:p w:rsidR="00D93DD5" w:rsidRPr="003C7074" w:rsidRDefault="00D93DD5" w:rsidP="00D93DD5">
      <w:pPr>
        <w:spacing w:after="0" w:line="240" w:lineRule="auto"/>
        <w:jc w:val="center"/>
        <w:rPr>
          <w:b/>
          <w:sz w:val="32"/>
          <w:szCs w:val="32"/>
        </w:rPr>
      </w:pPr>
      <w:r w:rsidRPr="003C7074">
        <w:rPr>
          <w:b/>
          <w:sz w:val="32"/>
          <w:szCs w:val="32"/>
        </w:rPr>
        <w:t>Application for Recognition of Exemption</w:t>
      </w:r>
    </w:p>
    <w:p w:rsidR="00D93DD5" w:rsidRDefault="00D93DD5" w:rsidP="00D93DD5">
      <w:pPr>
        <w:spacing w:after="0" w:line="240" w:lineRule="auto"/>
        <w:jc w:val="center"/>
        <w:rPr>
          <w:b/>
          <w:sz w:val="32"/>
          <w:szCs w:val="32"/>
        </w:rPr>
      </w:pPr>
      <w:r w:rsidRPr="003C7074">
        <w:rPr>
          <w:b/>
          <w:sz w:val="32"/>
          <w:szCs w:val="32"/>
        </w:rPr>
        <w:t>Under Section 501(c</w:t>
      </w:r>
      <w:proofErr w:type="gramStart"/>
      <w:r w:rsidRPr="003C7074">
        <w:rPr>
          <w:b/>
          <w:sz w:val="32"/>
          <w:szCs w:val="32"/>
        </w:rPr>
        <w:t>)(</w:t>
      </w:r>
      <w:proofErr w:type="gramEnd"/>
      <w:r w:rsidRPr="003C7074">
        <w:rPr>
          <w:b/>
          <w:sz w:val="32"/>
          <w:szCs w:val="32"/>
        </w:rPr>
        <w:t>3) of the Internal Revenue Code</w:t>
      </w:r>
    </w:p>
    <w:p w:rsidR="00D93DD5" w:rsidRDefault="00D93DD5" w:rsidP="00D93DD5">
      <w:pPr>
        <w:spacing w:after="0" w:line="240" w:lineRule="auto"/>
        <w:jc w:val="center"/>
        <w:rPr>
          <w:b/>
          <w:sz w:val="32"/>
          <w:szCs w:val="32"/>
        </w:rPr>
      </w:pPr>
    </w:p>
    <w:p w:rsidR="00D93DD5" w:rsidRDefault="00D93DD5" w:rsidP="00D93DD5">
      <w:pPr>
        <w:spacing w:after="0" w:line="240" w:lineRule="auto"/>
        <w:jc w:val="center"/>
        <w:rPr>
          <w:b/>
          <w:sz w:val="32"/>
          <w:szCs w:val="32"/>
        </w:rPr>
      </w:pPr>
      <w:r>
        <w:rPr>
          <w:b/>
          <w:sz w:val="32"/>
          <w:szCs w:val="32"/>
        </w:rPr>
        <w:t>Additional Information</w:t>
      </w:r>
    </w:p>
    <w:p w:rsidR="00D93DD5" w:rsidRDefault="00D93DD5" w:rsidP="00D93DD5">
      <w:pPr>
        <w:spacing w:after="0"/>
        <w:rPr>
          <w:b/>
        </w:rPr>
      </w:pPr>
    </w:p>
    <w:p w:rsidR="00301CD8" w:rsidRPr="005E4ED6" w:rsidRDefault="005E4ED6">
      <w:pPr>
        <w:rPr>
          <w:b/>
        </w:rPr>
      </w:pPr>
      <w:r w:rsidRPr="005E4ED6">
        <w:rPr>
          <w:b/>
        </w:rPr>
        <w:t>Part IV Narrative Description of Activities</w:t>
      </w:r>
    </w:p>
    <w:p w:rsidR="005355B5" w:rsidRDefault="00386632" w:rsidP="005E4ED6">
      <w:pPr>
        <w:tabs>
          <w:tab w:val="left" w:pos="1470"/>
        </w:tabs>
      </w:pPr>
      <w:r>
        <w:t xml:space="preserve">Background information about the activities - </w:t>
      </w:r>
      <w:r w:rsidRPr="00386632">
        <w:t xml:space="preserve">Since the late 1990s, executive managers or directors of state agencies of the deaf and hard of hearing have held a loose network alliance.     </w:t>
      </w:r>
      <w:r>
        <w:t>These e</w:t>
      </w:r>
      <w:r w:rsidRPr="00386632">
        <w:t>xecutives have observed the chronic unmet needs of deaf, hard of hearing and deaf-blind</w:t>
      </w:r>
      <w:r>
        <w:t xml:space="preserve"> with</w:t>
      </w:r>
      <w:r w:rsidRPr="00386632">
        <w:t xml:space="preserve"> fragmented services lacking standards and </w:t>
      </w:r>
      <w:r>
        <w:t xml:space="preserve">a </w:t>
      </w:r>
      <w:r w:rsidRPr="00386632">
        <w:t xml:space="preserve">lack of adequate funding.    A mutual consensus was reached to form a national association to address these disparities as well as the need for a venue to provide a public service to the general public </w:t>
      </w:r>
      <w:r>
        <w:t xml:space="preserve">by </w:t>
      </w:r>
      <w:r w:rsidRPr="00386632">
        <w:t xml:space="preserve">sharing its’ past, present and future activities.    </w:t>
      </w:r>
      <w:r w:rsidR="005355B5">
        <w:t xml:space="preserve">All aforementioned activities are conducted </w:t>
      </w:r>
      <w:r w:rsidR="00610BD8">
        <w:t>periodically</w:t>
      </w:r>
      <w:r w:rsidR="005355B5">
        <w:t xml:space="preserve"> with states </w:t>
      </w:r>
      <w:r w:rsidR="00610BD8">
        <w:t xml:space="preserve">agencies </w:t>
      </w:r>
      <w:r w:rsidR="005355B5">
        <w:t xml:space="preserve">volunteering their time </w:t>
      </w:r>
      <w:r w:rsidR="00610BD8">
        <w:t xml:space="preserve">along </w:t>
      </w:r>
      <w:r>
        <w:t>with in-kind contributions at no cost to the National Association of State Agencies of the Deaf and Hard of Hearing doing business as “NASADHH.”</w:t>
      </w:r>
    </w:p>
    <w:p w:rsidR="0027187D" w:rsidRDefault="005E4ED6" w:rsidP="005E4ED6">
      <w:pPr>
        <w:tabs>
          <w:tab w:val="left" w:pos="1470"/>
        </w:tabs>
      </w:pPr>
      <w:r>
        <w:t xml:space="preserve">Past activities – </w:t>
      </w:r>
      <w:r w:rsidR="0027187D">
        <w:t xml:space="preserve">Held </w:t>
      </w:r>
      <w:r>
        <w:t>informal biennial meetings to share accomplishments and discuss shared issues facing deaf, hard of hearing and deaf-blind constituents</w:t>
      </w:r>
      <w:r w:rsidR="0027187D">
        <w:t>. Updated the annual “Directory of State Agencies Serving Deaf and Hard of Hearing”</w:t>
      </w:r>
      <w:r w:rsidR="005355B5">
        <w:t xml:space="preserve"> led by Michigan and Washington State in the past and recently, Kansas.</w:t>
      </w:r>
      <w:r w:rsidR="0027187D">
        <w:t xml:space="preserve">  Conducted </w:t>
      </w:r>
      <w:r w:rsidR="0027187D" w:rsidRPr="0027187D">
        <w:t>national surveys pos</w:t>
      </w:r>
      <w:r w:rsidR="0027187D">
        <w:t>ing</w:t>
      </w:r>
      <w:r w:rsidR="0027187D" w:rsidRPr="0027187D">
        <w:t xml:space="preserve"> questions related to organizational hierarchy within government, structure of advisory or decision-making boards, funding sources and budgets, executive salaries and number of employees, </w:t>
      </w:r>
      <w:r w:rsidR="0027187D">
        <w:t xml:space="preserve">and </w:t>
      </w:r>
      <w:r w:rsidR="0027187D" w:rsidRPr="0027187D">
        <w:t>type of services provided</w:t>
      </w:r>
      <w:r w:rsidR="005355B5">
        <w:t xml:space="preserve"> led by Michigan and recently, Rhode Island</w:t>
      </w:r>
      <w:r w:rsidR="0027187D" w:rsidRPr="0027187D">
        <w:t xml:space="preserve">.  </w:t>
      </w:r>
      <w:r w:rsidR="00610BD8">
        <w:t>The directory and survey is available to the general public.</w:t>
      </w:r>
      <w:r w:rsidR="0027187D" w:rsidRPr="0027187D">
        <w:t xml:space="preserve"> </w:t>
      </w:r>
      <w:r w:rsidR="0027187D">
        <w:t>M</w:t>
      </w:r>
      <w:r>
        <w:t>aintain</w:t>
      </w:r>
      <w:r w:rsidR="0027187D">
        <w:t>ed</w:t>
      </w:r>
      <w:r>
        <w:t xml:space="preserve"> a listserv </w:t>
      </w:r>
      <w:r w:rsidR="00610BD8">
        <w:t>administered by Kansas</w:t>
      </w:r>
      <w:r w:rsidR="00610BD8">
        <w:t xml:space="preserve"> and currently, North Carolina</w:t>
      </w:r>
      <w:r w:rsidR="00610BD8">
        <w:t xml:space="preserve"> </w:t>
      </w:r>
      <w:r>
        <w:t xml:space="preserve">to pose inquiries regarding legislation, issues, and </w:t>
      </w:r>
      <w:r w:rsidR="0027187D">
        <w:t>service delivery best practices</w:t>
      </w:r>
      <w:r w:rsidR="00610BD8">
        <w:t>.</w:t>
      </w:r>
      <w:r w:rsidR="005355B5">
        <w:t xml:space="preserve"> </w:t>
      </w:r>
    </w:p>
    <w:p w:rsidR="005E4ED6" w:rsidRDefault="005E4ED6" w:rsidP="005E4ED6">
      <w:pPr>
        <w:tabs>
          <w:tab w:val="left" w:pos="1470"/>
        </w:tabs>
      </w:pPr>
      <w:r>
        <w:t xml:space="preserve">Present activities – </w:t>
      </w:r>
      <w:r w:rsidR="0027187D">
        <w:t>C</w:t>
      </w:r>
      <w:r>
        <w:t>ontinuation of biennial meetings</w:t>
      </w:r>
      <w:r w:rsidR="0027187D">
        <w:t>, directory, surveys</w:t>
      </w:r>
      <w:r>
        <w:t xml:space="preserve"> and listserv maintenance</w:t>
      </w:r>
      <w:r w:rsidR="0027187D">
        <w:t>.</w:t>
      </w:r>
      <w:r>
        <w:t xml:space="preserve"> </w:t>
      </w:r>
      <w:r w:rsidR="0027187D">
        <w:t>E</w:t>
      </w:r>
      <w:r>
        <w:t xml:space="preserve">stablishment of two workgroups </w:t>
      </w:r>
      <w:r w:rsidR="00610BD8">
        <w:t>with various states participating</w:t>
      </w:r>
      <w:r w:rsidR="00610BD8">
        <w:t xml:space="preserve"> </w:t>
      </w:r>
      <w:r>
        <w:t>to research and disseminate find</w:t>
      </w:r>
      <w:r w:rsidR="00610BD8">
        <w:t>ing</w:t>
      </w:r>
      <w:r>
        <w:t xml:space="preserve">s regarding </w:t>
      </w:r>
      <w:r w:rsidR="00610BD8">
        <w:t xml:space="preserve">standards pertinent to </w:t>
      </w:r>
      <w:r>
        <w:t>interpreting and access to healthcare</w:t>
      </w:r>
      <w:r w:rsidR="0027187D">
        <w:t>.  E</w:t>
      </w:r>
      <w:r>
        <w:t>stablish</w:t>
      </w:r>
      <w:r w:rsidR="0027187D">
        <w:t>ing a</w:t>
      </w:r>
      <w:r>
        <w:t xml:space="preserve"> website including domain name, hosting, and development</w:t>
      </w:r>
      <w:r w:rsidR="005355B5">
        <w:t xml:space="preserve"> with Arizona and Washington State as the lead</w:t>
      </w:r>
      <w:r>
        <w:t>.</w:t>
      </w:r>
    </w:p>
    <w:p w:rsidR="005E4ED6" w:rsidRDefault="005E4ED6" w:rsidP="005E4ED6">
      <w:pPr>
        <w:tabs>
          <w:tab w:val="left" w:pos="1470"/>
        </w:tabs>
      </w:pPr>
      <w:r>
        <w:t xml:space="preserve">Future activities – </w:t>
      </w:r>
      <w:r w:rsidR="0027187D">
        <w:t>E</w:t>
      </w:r>
      <w:r>
        <w:t xml:space="preserve">stablish </w:t>
      </w:r>
      <w:r w:rsidR="00E4653A">
        <w:t>a national</w:t>
      </w:r>
      <w:r>
        <w:t xml:space="preserve"> information clearinghouse inclusive of answers to common requests for information and referral</w:t>
      </w:r>
      <w:r w:rsidR="009C06B8">
        <w:t>.  Develop best practices or quality standards of delivery systems.   Draft position statements on issues pertinent to deaf, hard of hearing and deaf-blind constituents.</w:t>
      </w:r>
    </w:p>
    <w:p w:rsidR="00DC2449" w:rsidRDefault="00DC2449" w:rsidP="009C06B8">
      <w:pPr>
        <w:tabs>
          <w:tab w:val="left" w:pos="1470"/>
        </w:tabs>
        <w:rPr>
          <w:b/>
        </w:rPr>
      </w:pPr>
    </w:p>
    <w:p w:rsidR="00DC2449" w:rsidRDefault="00DC2449" w:rsidP="009C06B8">
      <w:pPr>
        <w:tabs>
          <w:tab w:val="left" w:pos="1470"/>
        </w:tabs>
        <w:rPr>
          <w:b/>
        </w:rPr>
      </w:pPr>
    </w:p>
    <w:p w:rsidR="00DC2449" w:rsidRDefault="00DC2449" w:rsidP="009C06B8">
      <w:pPr>
        <w:tabs>
          <w:tab w:val="left" w:pos="1470"/>
        </w:tabs>
        <w:rPr>
          <w:b/>
        </w:rPr>
      </w:pPr>
    </w:p>
    <w:p w:rsidR="009C06B8" w:rsidRPr="009C06B8" w:rsidRDefault="009C06B8" w:rsidP="009C06B8">
      <w:pPr>
        <w:tabs>
          <w:tab w:val="left" w:pos="1470"/>
        </w:tabs>
        <w:rPr>
          <w:b/>
        </w:rPr>
      </w:pPr>
      <w:r w:rsidRPr="009C06B8">
        <w:rPr>
          <w:b/>
        </w:rPr>
        <w:lastRenderedPageBreak/>
        <w:t xml:space="preserve">Part V Compensation and Other Financial Arrangements </w:t>
      </w:r>
      <w:proofErr w:type="gramStart"/>
      <w:r w:rsidRPr="009C06B8">
        <w:rPr>
          <w:b/>
        </w:rPr>
        <w:t>With</w:t>
      </w:r>
      <w:proofErr w:type="gramEnd"/>
      <w:r w:rsidRPr="009C06B8">
        <w:rPr>
          <w:b/>
        </w:rPr>
        <w:t xml:space="preserve"> Your Officers, Directors, Trustees, Employees, and Independent Contractors</w:t>
      </w:r>
    </w:p>
    <w:p w:rsidR="00AD0A88" w:rsidRPr="00BE03F2" w:rsidRDefault="00AD0A88" w:rsidP="009C06B8">
      <w:pPr>
        <w:tabs>
          <w:tab w:val="left" w:pos="1470"/>
        </w:tabs>
        <w:rPr>
          <w:u w:val="single"/>
        </w:rPr>
      </w:pPr>
      <w:r w:rsidRPr="00BE03F2">
        <w:rPr>
          <w:u w:val="single"/>
        </w:rPr>
        <w:t>1a “List the names, titles and mailing addresses of all of your officers, directors and trustees.  For each</w:t>
      </w:r>
      <w:r w:rsidR="00610BD8" w:rsidRPr="00BE03F2">
        <w:rPr>
          <w:u w:val="single"/>
        </w:rPr>
        <w:t xml:space="preserve"> person listed, state their total annual compensation, or proposed compensation, for all services to the organization, whether as an officer, employee or other employee.”</w:t>
      </w:r>
    </w:p>
    <w:tbl>
      <w:tblPr>
        <w:tblStyle w:val="TableGrid"/>
        <w:tblW w:w="0" w:type="auto"/>
        <w:tblLook w:val="04A0" w:firstRow="1" w:lastRow="0" w:firstColumn="1" w:lastColumn="0" w:noHBand="0" w:noVBand="1"/>
      </w:tblPr>
      <w:tblGrid>
        <w:gridCol w:w="2088"/>
        <w:gridCol w:w="1980"/>
        <w:gridCol w:w="3114"/>
        <w:gridCol w:w="2394"/>
      </w:tblGrid>
      <w:tr w:rsidR="00AD0A88" w:rsidTr="005355B5">
        <w:tc>
          <w:tcPr>
            <w:tcW w:w="2088" w:type="dxa"/>
          </w:tcPr>
          <w:p w:rsidR="00AD0A88" w:rsidRDefault="00AD0A88" w:rsidP="009C06B8">
            <w:pPr>
              <w:tabs>
                <w:tab w:val="left" w:pos="1470"/>
              </w:tabs>
            </w:pPr>
            <w:r>
              <w:t>Name</w:t>
            </w:r>
          </w:p>
        </w:tc>
        <w:tc>
          <w:tcPr>
            <w:tcW w:w="1980" w:type="dxa"/>
          </w:tcPr>
          <w:p w:rsidR="00AD0A88" w:rsidRDefault="00AD0A88" w:rsidP="009C06B8">
            <w:pPr>
              <w:tabs>
                <w:tab w:val="left" w:pos="1470"/>
              </w:tabs>
            </w:pPr>
            <w:r>
              <w:t>Title</w:t>
            </w:r>
          </w:p>
        </w:tc>
        <w:tc>
          <w:tcPr>
            <w:tcW w:w="3114" w:type="dxa"/>
          </w:tcPr>
          <w:p w:rsidR="00AD0A88" w:rsidRDefault="00AD0A88" w:rsidP="009C06B8">
            <w:pPr>
              <w:tabs>
                <w:tab w:val="left" w:pos="1470"/>
              </w:tabs>
            </w:pPr>
            <w:r>
              <w:t>Mailing address</w:t>
            </w:r>
          </w:p>
        </w:tc>
        <w:tc>
          <w:tcPr>
            <w:tcW w:w="2394" w:type="dxa"/>
          </w:tcPr>
          <w:p w:rsidR="00AD0A88" w:rsidRDefault="00AD0A88" w:rsidP="009C06B8">
            <w:pPr>
              <w:tabs>
                <w:tab w:val="left" w:pos="1470"/>
              </w:tabs>
            </w:pPr>
            <w:r>
              <w:t>Compensation amount</w:t>
            </w:r>
          </w:p>
        </w:tc>
      </w:tr>
      <w:tr w:rsidR="00AD0A88" w:rsidTr="005355B5">
        <w:tc>
          <w:tcPr>
            <w:tcW w:w="2088" w:type="dxa"/>
          </w:tcPr>
          <w:p w:rsidR="00AD0A88" w:rsidRDefault="005355B5" w:rsidP="009C06B8">
            <w:pPr>
              <w:tabs>
                <w:tab w:val="left" w:pos="1470"/>
              </w:tabs>
            </w:pPr>
            <w:r>
              <w:t>Dee Clanton, ODHH</w:t>
            </w:r>
          </w:p>
        </w:tc>
        <w:tc>
          <w:tcPr>
            <w:tcW w:w="1980" w:type="dxa"/>
          </w:tcPr>
          <w:p w:rsidR="00AD0A88" w:rsidRDefault="00AD0A88" w:rsidP="009C06B8">
            <w:pPr>
              <w:tabs>
                <w:tab w:val="left" w:pos="1470"/>
              </w:tabs>
            </w:pPr>
            <w:r>
              <w:t>Board of Directors - at large</w:t>
            </w:r>
          </w:p>
        </w:tc>
        <w:tc>
          <w:tcPr>
            <w:tcW w:w="3114" w:type="dxa"/>
          </w:tcPr>
          <w:p w:rsidR="00AD0A88" w:rsidRDefault="005355B5" w:rsidP="005355B5">
            <w:pPr>
              <w:tabs>
                <w:tab w:val="left" w:pos="1470"/>
              </w:tabs>
            </w:pPr>
            <w:r>
              <w:t>21 South Fruit Street, Suite 200</w:t>
            </w:r>
          </w:p>
          <w:p w:rsidR="005355B5" w:rsidRDefault="005355B5" w:rsidP="005355B5">
            <w:pPr>
              <w:tabs>
                <w:tab w:val="left" w:pos="1470"/>
              </w:tabs>
            </w:pPr>
            <w:r>
              <w:t>Concord, NH  03301</w:t>
            </w:r>
          </w:p>
        </w:tc>
        <w:tc>
          <w:tcPr>
            <w:tcW w:w="2394" w:type="dxa"/>
          </w:tcPr>
          <w:p w:rsidR="00AD0A88" w:rsidRDefault="00AD0A88" w:rsidP="009C06B8">
            <w:pPr>
              <w:tabs>
                <w:tab w:val="left" w:pos="1470"/>
              </w:tabs>
            </w:pPr>
            <w:r>
              <w:t>None</w:t>
            </w:r>
          </w:p>
        </w:tc>
      </w:tr>
      <w:tr w:rsidR="00AD0A88" w:rsidTr="005355B5">
        <w:tc>
          <w:tcPr>
            <w:tcW w:w="2088" w:type="dxa"/>
          </w:tcPr>
          <w:p w:rsidR="00AD0A88" w:rsidRDefault="00AD0A88" w:rsidP="005355B5">
            <w:pPr>
              <w:tabs>
                <w:tab w:val="left" w:pos="1470"/>
              </w:tabs>
            </w:pPr>
            <w:r>
              <w:t xml:space="preserve">Ernest </w:t>
            </w:r>
            <w:r w:rsidR="005355B5">
              <w:t>Garrett III</w:t>
            </w:r>
            <w:r>
              <w:t>, M</w:t>
            </w:r>
            <w:r w:rsidR="005355B5">
              <w:t>CDHH</w:t>
            </w:r>
          </w:p>
        </w:tc>
        <w:tc>
          <w:tcPr>
            <w:tcW w:w="1980" w:type="dxa"/>
          </w:tcPr>
          <w:p w:rsidR="00AD0A88" w:rsidRDefault="00AD0A88" w:rsidP="005355B5">
            <w:pPr>
              <w:tabs>
                <w:tab w:val="left" w:pos="1470"/>
              </w:tabs>
            </w:pPr>
            <w:r>
              <w:t>Board of Directors</w:t>
            </w:r>
            <w:r w:rsidR="005355B5">
              <w:t xml:space="preserve"> -</w:t>
            </w:r>
            <w:r>
              <w:t xml:space="preserve"> at large</w:t>
            </w:r>
          </w:p>
        </w:tc>
        <w:tc>
          <w:tcPr>
            <w:tcW w:w="3114" w:type="dxa"/>
          </w:tcPr>
          <w:p w:rsidR="00AD0A88" w:rsidRDefault="005355B5" w:rsidP="005355B5">
            <w:pPr>
              <w:tabs>
                <w:tab w:val="left" w:pos="1470"/>
              </w:tabs>
            </w:pPr>
            <w:r>
              <w:t xml:space="preserve">1500 </w:t>
            </w:r>
            <w:proofErr w:type="spellStart"/>
            <w:r>
              <w:t>Southridge</w:t>
            </w:r>
            <w:proofErr w:type="spellEnd"/>
            <w:r>
              <w:t xml:space="preserve"> Drive Suite 201</w:t>
            </w:r>
          </w:p>
          <w:p w:rsidR="005355B5" w:rsidRDefault="005355B5" w:rsidP="005355B5">
            <w:pPr>
              <w:tabs>
                <w:tab w:val="left" w:pos="1470"/>
              </w:tabs>
            </w:pPr>
            <w:r>
              <w:t>Jefferson City, MO  65109</w:t>
            </w:r>
          </w:p>
        </w:tc>
        <w:tc>
          <w:tcPr>
            <w:tcW w:w="2394" w:type="dxa"/>
          </w:tcPr>
          <w:p w:rsidR="00AD0A88" w:rsidRDefault="00AD0A88" w:rsidP="009C06B8">
            <w:pPr>
              <w:tabs>
                <w:tab w:val="left" w:pos="1470"/>
              </w:tabs>
            </w:pPr>
            <w:r>
              <w:t>None</w:t>
            </w:r>
          </w:p>
        </w:tc>
      </w:tr>
    </w:tbl>
    <w:p w:rsidR="00AD0A88" w:rsidRDefault="00AD0A88" w:rsidP="009C06B8">
      <w:pPr>
        <w:tabs>
          <w:tab w:val="left" w:pos="1470"/>
        </w:tabs>
      </w:pPr>
    </w:p>
    <w:p w:rsidR="009C06B8" w:rsidRPr="00BE03F2" w:rsidRDefault="009C06B8" w:rsidP="009C06B8">
      <w:pPr>
        <w:tabs>
          <w:tab w:val="left" w:pos="1470"/>
        </w:tabs>
        <w:rPr>
          <w:u w:val="single"/>
        </w:rPr>
      </w:pPr>
      <w:r w:rsidRPr="00BE03F2">
        <w:rPr>
          <w:u w:val="single"/>
        </w:rPr>
        <w:t>3a “…attach a list showing their name, qualifications, average hours worked, and duties.”</w:t>
      </w:r>
    </w:p>
    <w:p w:rsidR="009C06B8" w:rsidRDefault="009C06B8" w:rsidP="009C06B8">
      <w:pPr>
        <w:tabs>
          <w:tab w:val="left" w:pos="1470"/>
        </w:tabs>
      </w:pPr>
      <w:r>
        <w:t xml:space="preserve">As identified in Part V, 1a, </w:t>
      </w:r>
      <w:r w:rsidR="00D729C7">
        <w:t xml:space="preserve">the Board of Directors and Officers are executive administrators of their state’s agency of the deaf and hard of hearing.  All of them have degrees ranging from </w:t>
      </w:r>
      <w:r w:rsidR="00AD0A88">
        <w:t xml:space="preserve">bachelors </w:t>
      </w:r>
      <w:r w:rsidR="00D729C7">
        <w:t>to doctorate, 2+ years of experience providing direct services, knowledge and expertise pertinent to deaf, hard of hearing and deaf-blind.   Their duties as members of the Board of Directors and officers are stipulated in the bylaws and performed accordingly</w:t>
      </w:r>
      <w:r w:rsidR="00F00F0F">
        <w:t xml:space="preserve"> with no compensation</w:t>
      </w:r>
      <w:r w:rsidR="00D729C7">
        <w:t xml:space="preserve">.    As volunteers, the average hours worked is </w:t>
      </w:r>
      <w:r w:rsidR="005355B5">
        <w:t>minimal</w:t>
      </w:r>
      <w:r w:rsidR="00D729C7">
        <w:t xml:space="preserve"> and varies among individual members.</w:t>
      </w:r>
    </w:p>
    <w:p w:rsidR="00AD0A88" w:rsidRPr="00BE03F2" w:rsidRDefault="00AD0A88" w:rsidP="009C06B8">
      <w:pPr>
        <w:tabs>
          <w:tab w:val="left" w:pos="1470"/>
        </w:tabs>
        <w:rPr>
          <w:u w:val="single"/>
        </w:rPr>
      </w:pPr>
      <w:r w:rsidRPr="00BE03F2">
        <w:rPr>
          <w:u w:val="single"/>
        </w:rPr>
        <w:t>5a “Have you adopted a conflict of interest policy consistent with the sample conflict of interest policy in Appendix A to the instructions?   If ‘Yes,’ provide a copy of the policy…”</w:t>
      </w:r>
    </w:p>
    <w:p w:rsidR="00AD0A88" w:rsidRDefault="00AD0A88" w:rsidP="009C06B8">
      <w:pPr>
        <w:tabs>
          <w:tab w:val="left" w:pos="1470"/>
        </w:tabs>
      </w:pPr>
      <w:r>
        <w:rPr>
          <w:rFonts w:cstheme="minorHAnsi"/>
        </w:rPr>
        <w:t>§</w:t>
      </w:r>
      <w:r w:rsidR="0001196B">
        <w:t xml:space="preserve"> 9.10 – Conflicts of interest (Article Nine, Section 10) is stipulated in the Bylaws which was adopted on July 2, 2012 by </w:t>
      </w:r>
      <w:r w:rsidR="00F00F0F">
        <w:t xml:space="preserve">2/3 vote of the general membership </w:t>
      </w:r>
      <w:r w:rsidR="0001196B">
        <w:t xml:space="preserve">at </w:t>
      </w:r>
      <w:r w:rsidR="00F00F0F">
        <w:t>the</w:t>
      </w:r>
      <w:r w:rsidR="0001196B">
        <w:t xml:space="preserve"> biennial meeting.  </w:t>
      </w:r>
    </w:p>
    <w:p w:rsidR="00D729C7" w:rsidRPr="0001196B" w:rsidRDefault="0001196B" w:rsidP="0001196B">
      <w:pPr>
        <w:tabs>
          <w:tab w:val="left" w:pos="1470"/>
        </w:tabs>
        <w:rPr>
          <w:b/>
        </w:rPr>
      </w:pPr>
      <w:r w:rsidRPr="0001196B">
        <w:rPr>
          <w:b/>
        </w:rPr>
        <w:t xml:space="preserve">Part VI Your Members and Other Individuals and Organizations That Receive Benefits </w:t>
      </w:r>
      <w:proofErr w:type="gramStart"/>
      <w:r w:rsidRPr="0001196B">
        <w:rPr>
          <w:b/>
        </w:rPr>
        <w:t>From</w:t>
      </w:r>
      <w:proofErr w:type="gramEnd"/>
      <w:r w:rsidRPr="0001196B">
        <w:rPr>
          <w:b/>
        </w:rPr>
        <w:t xml:space="preserve"> You</w:t>
      </w:r>
    </w:p>
    <w:p w:rsidR="0001196B" w:rsidRPr="00BE03F2" w:rsidRDefault="0001196B" w:rsidP="0001196B">
      <w:pPr>
        <w:tabs>
          <w:tab w:val="left" w:pos="1470"/>
        </w:tabs>
        <w:rPr>
          <w:u w:val="single"/>
        </w:rPr>
      </w:pPr>
      <w:r w:rsidRPr="00BE03F2">
        <w:rPr>
          <w:u w:val="single"/>
        </w:rPr>
        <w:t>1a “…to individuals?  If ‘Yes,’ describe each program that provides goods, services, or funds to individuals.”</w:t>
      </w:r>
    </w:p>
    <w:p w:rsidR="0001196B" w:rsidRDefault="00E4653A" w:rsidP="0001196B">
      <w:pPr>
        <w:tabs>
          <w:tab w:val="left" w:pos="1470"/>
        </w:tabs>
      </w:pPr>
      <w:r w:rsidRPr="00E4653A">
        <w:t>National Clearing</w:t>
      </w:r>
      <w:r>
        <w:t>house:   R</w:t>
      </w:r>
      <w:r w:rsidRPr="00E4653A">
        <w:t xml:space="preserve">esources including fact sheets, frequently asked questions, </w:t>
      </w:r>
      <w:r>
        <w:t xml:space="preserve">other </w:t>
      </w:r>
      <w:r w:rsidRPr="00E4653A">
        <w:t>resources and publications will be provided to people who are deaf, hard of hearing, deaf-blind, their family members, parents, professionals serving people with hearing loss and the general public</w:t>
      </w:r>
      <w:r>
        <w:t xml:space="preserve"> in </w:t>
      </w:r>
      <w:r w:rsidR="0001196B">
        <w:t>response to requests for information and referrals.</w:t>
      </w:r>
      <w:r>
        <w:t xml:space="preserve">  It will include a directory and past surveys of state agencies of the deaf and hard of hearing.</w:t>
      </w:r>
    </w:p>
    <w:p w:rsidR="0001196B" w:rsidRPr="00BE03F2" w:rsidRDefault="0001196B" w:rsidP="0001196B">
      <w:pPr>
        <w:tabs>
          <w:tab w:val="left" w:pos="1470"/>
        </w:tabs>
        <w:rPr>
          <w:u w:val="single"/>
        </w:rPr>
      </w:pPr>
      <w:proofErr w:type="gramStart"/>
      <w:r w:rsidRPr="00BE03F2">
        <w:rPr>
          <w:u w:val="single"/>
        </w:rPr>
        <w:t>1b “…to organizations?</w:t>
      </w:r>
      <w:proofErr w:type="gramEnd"/>
      <w:r w:rsidRPr="00BE03F2">
        <w:rPr>
          <w:u w:val="single"/>
        </w:rPr>
        <w:t xml:space="preserve">  ?  </w:t>
      </w:r>
      <w:proofErr w:type="gramStart"/>
      <w:r w:rsidRPr="00BE03F2">
        <w:rPr>
          <w:u w:val="single"/>
        </w:rPr>
        <w:t>If ‘Yes,’ describe each program that provides goods, services, or funds to organizations.”</w:t>
      </w:r>
      <w:proofErr w:type="gramEnd"/>
    </w:p>
    <w:p w:rsidR="00E4653A" w:rsidRDefault="00E4653A" w:rsidP="0001196B">
      <w:pPr>
        <w:tabs>
          <w:tab w:val="left" w:pos="1470"/>
        </w:tabs>
      </w:pPr>
      <w:r w:rsidRPr="00E4653A">
        <w:t xml:space="preserve">Line 1b: National Clearinghouse:   </w:t>
      </w:r>
      <w:r>
        <w:t xml:space="preserve">Technical assistance inclusive of national </w:t>
      </w:r>
      <w:r w:rsidRPr="00E4653A">
        <w:t>best practices</w:t>
      </w:r>
      <w:r>
        <w:t>/standards</w:t>
      </w:r>
      <w:r w:rsidRPr="00E4653A">
        <w:t xml:space="preserve"> in service delivery, Americans with Disabilities Act provision of reasonable accommodations, national </w:t>
      </w:r>
      <w:r w:rsidRPr="00E4653A">
        <w:lastRenderedPageBreak/>
        <w:t>surveys, and other publications &amp; resources will be provided to organizations, businesses, government agencies, and employers serving people who are deaf, hard of hearing or deaf-blind.</w:t>
      </w:r>
      <w:r>
        <w:t xml:space="preserve"> </w:t>
      </w:r>
    </w:p>
    <w:p w:rsidR="00EC1502" w:rsidRPr="00EC1502" w:rsidRDefault="00EC1502" w:rsidP="0001196B">
      <w:pPr>
        <w:tabs>
          <w:tab w:val="left" w:pos="1470"/>
        </w:tabs>
        <w:rPr>
          <w:b/>
        </w:rPr>
      </w:pPr>
      <w:r w:rsidRPr="00EC1502">
        <w:rPr>
          <w:b/>
        </w:rPr>
        <w:t>Part VIII Your Specific Activities</w:t>
      </w:r>
    </w:p>
    <w:p w:rsidR="00EC1502" w:rsidRPr="00BE03F2" w:rsidRDefault="00EC1502" w:rsidP="0001196B">
      <w:pPr>
        <w:tabs>
          <w:tab w:val="left" w:pos="1470"/>
        </w:tabs>
        <w:rPr>
          <w:u w:val="single"/>
        </w:rPr>
      </w:pPr>
      <w:r w:rsidRPr="00BE03F2">
        <w:rPr>
          <w:u w:val="single"/>
        </w:rPr>
        <w:t>2a “If ‘Yes,’ explain how you attempt to influence legislation and…”</w:t>
      </w:r>
    </w:p>
    <w:p w:rsidR="004810DA" w:rsidRDefault="00271B65" w:rsidP="0001196B">
      <w:pPr>
        <w:tabs>
          <w:tab w:val="left" w:pos="1470"/>
        </w:tabs>
      </w:pPr>
      <w:r w:rsidRPr="00271B65">
        <w:t xml:space="preserve">NASADHH has not attempted to influence legislation within its past and present activities.   NASADHH does not anticipate in engaging in a substantial amount of legislative activities.   </w:t>
      </w:r>
      <w:r w:rsidR="00EC1502">
        <w:t>Any anticipated attempt to influence legislation will be limited to issues pertinent to deaf, hard of hearing and deaf-blind as well as people with disab</w:t>
      </w:r>
      <w:r w:rsidR="00913715">
        <w:t xml:space="preserve">ilities.  Issues would include protecting and advancing the civil rights of people with disabilities or promoting access to services and technology.   </w:t>
      </w:r>
    </w:p>
    <w:p w:rsidR="00913715" w:rsidRPr="00BE03F2" w:rsidRDefault="00913715" w:rsidP="0001196B">
      <w:pPr>
        <w:tabs>
          <w:tab w:val="left" w:pos="1470"/>
        </w:tabs>
        <w:rPr>
          <w:u w:val="single"/>
        </w:rPr>
      </w:pPr>
      <w:r w:rsidRPr="00BE03F2">
        <w:rPr>
          <w:u w:val="single"/>
        </w:rPr>
        <w:t>2b “If ‘No,’ describe whether your attempts to influence legislation are a substantial part of your activities.  Include the time and money spent on your attempts to influence legislation as compared to your total activities.”</w:t>
      </w:r>
    </w:p>
    <w:p w:rsidR="00913715" w:rsidRDefault="006D757B" w:rsidP="0001196B">
      <w:pPr>
        <w:tabs>
          <w:tab w:val="left" w:pos="1470"/>
        </w:tabs>
      </w:pPr>
      <w:r>
        <w:t>Attempts to influence legislation are</w:t>
      </w:r>
      <w:r w:rsidR="00271B65">
        <w:t xml:space="preserve"> not the primary focus of </w:t>
      </w:r>
      <w:r>
        <w:t>NASADHH activities</w:t>
      </w:r>
      <w:r w:rsidR="00271B65">
        <w:t xml:space="preserve">.   </w:t>
      </w:r>
      <w:r w:rsidRPr="00271B65">
        <w:t xml:space="preserve">Legislation pertinent to people with hearing loss </w:t>
      </w:r>
      <w:r>
        <w:t xml:space="preserve">or all people with disabilities </w:t>
      </w:r>
      <w:r w:rsidRPr="00271B65">
        <w:t>is occasional and infrequent</w:t>
      </w:r>
      <w:r w:rsidR="00AB6E61">
        <w:t>.</w:t>
      </w:r>
      <w:r w:rsidRPr="00271B65">
        <w:t xml:space="preserve"> </w:t>
      </w:r>
      <w:r w:rsidR="00271B65" w:rsidRPr="00271B65">
        <w:t xml:space="preserve">The percentage of total time and total funds spent on legislative activities should not exceed more than 5% during any given tax year.    The planned activity is to have the NASADHH Board and legislative committee to focus on and influence legislation only if its’ state members have a consensus.  NASADHH </w:t>
      </w:r>
      <w:r w:rsidR="00095E07">
        <w:t>would</w:t>
      </w:r>
      <w:r w:rsidR="00271B65" w:rsidRPr="00271B65">
        <w:t xml:space="preserve"> release ‘Position Statements’ on legislative </w:t>
      </w:r>
      <w:r w:rsidRPr="00271B65">
        <w:t>bills</w:t>
      </w:r>
      <w:r>
        <w:t xml:space="preserve">, send letters to elected officials, and issue </w:t>
      </w:r>
      <w:r w:rsidR="00271B65" w:rsidRPr="00271B65">
        <w:t>‘Legislative Alert</w:t>
      </w:r>
      <w:r>
        <w:t>s</w:t>
      </w:r>
      <w:r w:rsidR="00271B65" w:rsidRPr="00271B65">
        <w:t xml:space="preserve">’ </w:t>
      </w:r>
      <w:r>
        <w:t>to</w:t>
      </w:r>
      <w:r w:rsidR="00271B65" w:rsidRPr="00271B65">
        <w:t xml:space="preserve"> the general public </w:t>
      </w:r>
      <w:r>
        <w:t>regarding the status of legislative bills</w:t>
      </w:r>
      <w:r w:rsidR="00271B65" w:rsidRPr="00271B65">
        <w:t xml:space="preserve">.   </w:t>
      </w:r>
      <w:r w:rsidR="004810DA">
        <w:t>Due to infrequency of such specific legislation, little time will be spent by volunteers in drafting l</w:t>
      </w:r>
      <w:r w:rsidR="00913715">
        <w:t>etters and position statements</w:t>
      </w:r>
      <w:r w:rsidR="004810DA">
        <w:t xml:space="preserve"> to be approved by the general membership.    However, some state agencies of the deaf and hard of hearing are limited by their respective states</w:t>
      </w:r>
      <w:r w:rsidR="00D039E3">
        <w:t>’ rules</w:t>
      </w:r>
      <w:r w:rsidR="004810DA">
        <w:t xml:space="preserve"> regarding lobbying and will abstain from participating.   NASADHH intend to identify these states.  Cost incurred will be limited to printing and postage.</w:t>
      </w:r>
      <w:r w:rsidRPr="006D757B">
        <w:t xml:space="preserve"> </w:t>
      </w:r>
      <w:r>
        <w:t xml:space="preserve"> </w:t>
      </w:r>
      <w:r w:rsidRPr="00271B65">
        <w:t xml:space="preserve">NASADHH will avoid use of professional lobbyists.    </w:t>
      </w:r>
    </w:p>
    <w:p w:rsidR="00913715" w:rsidRPr="00BE03F2" w:rsidRDefault="005C05A7" w:rsidP="0001196B">
      <w:pPr>
        <w:tabs>
          <w:tab w:val="left" w:pos="1470"/>
        </w:tabs>
        <w:rPr>
          <w:u w:val="single"/>
        </w:rPr>
      </w:pPr>
      <w:r w:rsidRPr="00BE03F2">
        <w:rPr>
          <w:u w:val="single"/>
        </w:rPr>
        <w:t>4d “List all states and local jurisdiction in which you conduct fundraising.”</w:t>
      </w:r>
    </w:p>
    <w:p w:rsidR="005C05A7" w:rsidRDefault="00D039E3" w:rsidP="0001196B">
      <w:pPr>
        <w:tabs>
          <w:tab w:val="left" w:pos="1470"/>
        </w:tabs>
      </w:pPr>
      <w:r>
        <w:t xml:space="preserve">At this time, </w:t>
      </w:r>
      <w:r w:rsidR="00095E07">
        <w:t xml:space="preserve">fundraising is limited to </w:t>
      </w:r>
      <w:r>
        <w:t xml:space="preserve">solicitations for </w:t>
      </w:r>
      <w:r>
        <w:t>sponsorship</w:t>
      </w:r>
      <w:r>
        <w:t>s from national businesses to enable biennial meetings</w:t>
      </w:r>
      <w:r>
        <w:t>.</w:t>
      </w:r>
      <w:r>
        <w:t xml:space="preserve">  </w:t>
      </w:r>
      <w:r w:rsidR="00AB6E61" w:rsidRPr="00AB6E61">
        <w:t xml:space="preserve">NASADHH will conduct fundraising for itself </w:t>
      </w:r>
      <w:r>
        <w:t>in all of the 50</w:t>
      </w:r>
      <w:r w:rsidR="00AB6E61">
        <w:t xml:space="preserve"> states </w:t>
      </w:r>
      <w:r>
        <w:t xml:space="preserve">whenever </w:t>
      </w:r>
      <w:r w:rsidR="00AB6E61">
        <w:t>there is</w:t>
      </w:r>
      <w:r w:rsidR="00AB6E61" w:rsidRPr="00AB6E61">
        <w:t xml:space="preserve"> </w:t>
      </w:r>
      <w:r w:rsidR="00AB6E61">
        <w:t>an</w:t>
      </w:r>
      <w:r w:rsidR="00AB6E61" w:rsidRPr="00AB6E61">
        <w:t xml:space="preserve"> opportunity </w:t>
      </w:r>
      <w:r w:rsidR="00AB6E61">
        <w:t xml:space="preserve">to participate in a </w:t>
      </w:r>
      <w:r w:rsidR="00AB6E61" w:rsidRPr="00AB6E61">
        <w:t>fundraising activity or event within that state.   NASADHH will comply with any state’s registration and reporting requirements pertinent to fundraising.</w:t>
      </w:r>
      <w:r w:rsidR="00AB6E61">
        <w:t xml:space="preserve">  </w:t>
      </w:r>
    </w:p>
    <w:p w:rsidR="005C05A7" w:rsidRPr="00BE03F2" w:rsidRDefault="005C05A7" w:rsidP="0001196B">
      <w:pPr>
        <w:tabs>
          <w:tab w:val="left" w:pos="1470"/>
        </w:tabs>
        <w:rPr>
          <w:u w:val="single"/>
        </w:rPr>
      </w:pPr>
      <w:r w:rsidRPr="00BE03F2">
        <w:rPr>
          <w:u w:val="single"/>
        </w:rPr>
        <w:t>5 “Are you affiliated with a governmental unit?  If “Yes,” explain</w:t>
      </w:r>
    </w:p>
    <w:p w:rsidR="00095E07" w:rsidRDefault="00095E07" w:rsidP="0001196B">
      <w:pPr>
        <w:tabs>
          <w:tab w:val="left" w:pos="1470"/>
        </w:tabs>
      </w:pPr>
      <w:r w:rsidRPr="00095E07">
        <w:t xml:space="preserve">To define </w:t>
      </w:r>
      <w:r>
        <w:t xml:space="preserve">NASADHH being affiliated with </w:t>
      </w:r>
      <w:r w:rsidRPr="00095E07">
        <w:t>“governmental units</w:t>
      </w:r>
      <w:r>
        <w:t>,</w:t>
      </w:r>
      <w:r w:rsidRPr="00095E07">
        <w:t xml:space="preserve">” currently 39 states have a state commission, department, division, or office of the deaf and hard of hearing within the state government organizational hierarchy.      Each state agency is </w:t>
      </w:r>
      <w:r>
        <w:t>headed by a</w:t>
      </w:r>
      <w:r w:rsidR="003119F5">
        <w:t>n</w:t>
      </w:r>
      <w:r w:rsidRPr="00095E07">
        <w:t xml:space="preserve"> administrator, a manager or </w:t>
      </w:r>
      <w:r>
        <w:t xml:space="preserve">an </w:t>
      </w:r>
      <w:r w:rsidRPr="00095E07">
        <w:t xml:space="preserve">executive director </w:t>
      </w:r>
      <w:r>
        <w:t xml:space="preserve">who are representatives </w:t>
      </w:r>
      <w:r w:rsidR="003119F5">
        <w:t xml:space="preserve">on </w:t>
      </w:r>
      <w:r w:rsidRPr="00095E07">
        <w:t xml:space="preserve">the </w:t>
      </w:r>
      <w:r w:rsidR="003119F5">
        <w:t>NASADHH</w:t>
      </w:r>
      <w:r w:rsidRPr="00095E07">
        <w:t xml:space="preserve">.    </w:t>
      </w:r>
      <w:r w:rsidR="003119F5">
        <w:t>T</w:t>
      </w:r>
      <w:r w:rsidR="003119F5">
        <w:t xml:space="preserve">he NASADHH </w:t>
      </w:r>
      <w:r w:rsidR="003119F5">
        <w:t xml:space="preserve">membership and its </w:t>
      </w:r>
      <w:r w:rsidR="003119F5">
        <w:t xml:space="preserve">board of directors comprises of executive managers of these state agencies.   </w:t>
      </w:r>
      <w:r w:rsidR="003119F5">
        <w:t>NASADHH and t</w:t>
      </w:r>
      <w:r w:rsidRPr="00095E07">
        <w:t>he “governmental units” do not require financial reports or audits from</w:t>
      </w:r>
      <w:r w:rsidR="003119F5">
        <w:t xml:space="preserve"> each other.</w:t>
      </w:r>
      <w:r w:rsidRPr="00095E07">
        <w:t xml:space="preserve">  </w:t>
      </w:r>
      <w:r w:rsidR="003119F5">
        <w:t xml:space="preserve"> However, NASADHH as a separate </w:t>
      </w:r>
      <w:r w:rsidR="003119F5">
        <w:lastRenderedPageBreak/>
        <w:t xml:space="preserve">independent entity will have its own financial reports and audits.   </w:t>
      </w:r>
      <w:r w:rsidRPr="00095E07">
        <w:t>NASADHH and its’ affiliates does not have the power to tax</w:t>
      </w:r>
      <w:r>
        <w:t>, regulate</w:t>
      </w:r>
      <w:r w:rsidRPr="00095E07">
        <w:t xml:space="preserve"> or </w:t>
      </w:r>
      <w:r>
        <w:t>oversee each other</w:t>
      </w:r>
      <w:r w:rsidRPr="00095E07">
        <w:t xml:space="preserve">.   </w:t>
      </w:r>
    </w:p>
    <w:p w:rsidR="00A572EC" w:rsidRPr="00BE03F2" w:rsidRDefault="00A572EC" w:rsidP="0001196B">
      <w:pPr>
        <w:tabs>
          <w:tab w:val="left" w:pos="1470"/>
        </w:tabs>
        <w:rPr>
          <w:u w:val="single"/>
        </w:rPr>
      </w:pPr>
      <w:proofErr w:type="gramStart"/>
      <w:r w:rsidRPr="00BE03F2">
        <w:rPr>
          <w:u w:val="single"/>
        </w:rPr>
        <w:t>10 “If ‘Yes,’ explain.</w:t>
      </w:r>
      <w:proofErr w:type="gramEnd"/>
      <w:r w:rsidRPr="00BE03F2">
        <w:rPr>
          <w:u w:val="single"/>
        </w:rPr>
        <w:t xml:space="preserve">  Describe who owns or will own any copyrights, patents, or trademarks, whether fees are or will be charged, how the fees are determined, and how any items are or will be produced, distributed, and marketed.”</w:t>
      </w:r>
    </w:p>
    <w:p w:rsidR="00913715" w:rsidRDefault="00A572EC" w:rsidP="0001196B">
      <w:pPr>
        <w:tabs>
          <w:tab w:val="left" w:pos="1470"/>
        </w:tabs>
      </w:pPr>
      <w:r>
        <w:t xml:space="preserve">NASADHH will own any intellectual property produced on behalf of NASADHH.      Fees will not be charged however acknowledgment </w:t>
      </w:r>
      <w:r w:rsidR="003119F5">
        <w:t xml:space="preserve">of NASADHH ownership </w:t>
      </w:r>
      <w:r>
        <w:t xml:space="preserve">will be required.   Information packets may be copyright with a trademark logo to be created.   Additionally, the trademark logo will brand NASADHH on marketing resources such as brochure and website.  </w:t>
      </w:r>
    </w:p>
    <w:p w:rsidR="00BE03F2" w:rsidRPr="00BE03F2" w:rsidRDefault="003119F5" w:rsidP="009A7F50">
      <w:pPr>
        <w:tabs>
          <w:tab w:val="left" w:pos="1470"/>
        </w:tabs>
        <w:rPr>
          <w:u w:val="single"/>
        </w:rPr>
      </w:pPr>
      <w:r w:rsidRPr="00BE03F2">
        <w:rPr>
          <w:u w:val="single"/>
        </w:rPr>
        <w:t>13b, d, e, f, and g</w:t>
      </w:r>
      <w:r w:rsidR="00BE03F2" w:rsidRPr="00BE03F2">
        <w:rPr>
          <w:u w:val="single"/>
        </w:rPr>
        <w:t xml:space="preserve"> “Do you will you make grants, </w:t>
      </w:r>
      <w:proofErr w:type="gramStart"/>
      <w:r w:rsidR="00BE03F2" w:rsidRPr="00BE03F2">
        <w:rPr>
          <w:u w:val="single"/>
        </w:rPr>
        <w:t>loans, or other distributions to organization(s)</w:t>
      </w:r>
      <w:proofErr w:type="gramEnd"/>
      <w:r w:rsidR="00BE03F2" w:rsidRPr="00BE03F2">
        <w:rPr>
          <w:u w:val="single"/>
        </w:rPr>
        <w:t>”</w:t>
      </w:r>
    </w:p>
    <w:p w:rsidR="003119F5" w:rsidRDefault="003119F5" w:rsidP="009A7F50">
      <w:pPr>
        <w:tabs>
          <w:tab w:val="left" w:pos="1470"/>
        </w:tabs>
        <w:rPr>
          <w:highlight w:val="yellow"/>
        </w:rPr>
      </w:pPr>
      <w:r w:rsidRPr="003119F5">
        <w:t xml:space="preserve">NASADHH will make </w:t>
      </w:r>
      <w:r w:rsidR="00BE03F2">
        <w:t xml:space="preserve">applications, </w:t>
      </w:r>
      <w:r w:rsidRPr="003119F5">
        <w:t xml:space="preserve">grants or distributions </w:t>
      </w:r>
      <w:r w:rsidR="00BE03F2">
        <w:t xml:space="preserve">available </w:t>
      </w:r>
      <w:r w:rsidRPr="003119F5">
        <w:t xml:space="preserve">to individuals and organizations that are implementing or researching service delivery best practices or conducting research pertinent to people with hearing loss.    There have been no grants, loans and distributions to any recipient organization in past and present activities.   Accordingly, there are no records at this time.    For future activities, it is not anticipated NASADHH will be able to make grants, loans or distributions within the short-term horizon.   Depending on progress of NASADHH </w:t>
      </w:r>
      <w:r w:rsidR="00BE03F2" w:rsidRPr="003119F5">
        <w:t xml:space="preserve">organizational </w:t>
      </w:r>
      <w:r w:rsidR="00BE03F2">
        <w:t xml:space="preserve">and fund </w:t>
      </w:r>
      <w:r w:rsidRPr="003119F5">
        <w:t xml:space="preserve">development based on voluntary labor, NASADHH intend to develop policy &amp; procedures regarding </w:t>
      </w:r>
      <w:r w:rsidR="00BE03F2">
        <w:t xml:space="preserve">applications, </w:t>
      </w:r>
      <w:r w:rsidRPr="003119F5">
        <w:t xml:space="preserve">grants and distributions.    </w:t>
      </w:r>
    </w:p>
    <w:p w:rsidR="009A7F50" w:rsidRPr="009A7F50" w:rsidRDefault="009A7F50" w:rsidP="009A7F50">
      <w:pPr>
        <w:tabs>
          <w:tab w:val="left" w:pos="1470"/>
        </w:tabs>
        <w:rPr>
          <w:b/>
        </w:rPr>
      </w:pPr>
      <w:r w:rsidRPr="009A7F50">
        <w:rPr>
          <w:b/>
        </w:rPr>
        <w:t>Part X Public Charity Status</w:t>
      </w:r>
    </w:p>
    <w:p w:rsidR="001840BE" w:rsidRDefault="006E1C31" w:rsidP="009A7F50">
      <w:pPr>
        <w:tabs>
          <w:tab w:val="left" w:pos="1470"/>
        </w:tabs>
      </w:pPr>
      <w:r w:rsidRPr="001840BE">
        <w:rPr>
          <w:u w:val="single"/>
        </w:rPr>
        <w:t>6b (</w:t>
      </w:r>
      <w:proofErr w:type="spellStart"/>
      <w:r w:rsidRPr="001840BE">
        <w:rPr>
          <w:u w:val="single"/>
        </w:rPr>
        <w:t>i</w:t>
      </w:r>
      <w:proofErr w:type="spellEnd"/>
      <w:proofErr w:type="gramStart"/>
      <w:r w:rsidRPr="001840BE">
        <w:rPr>
          <w:u w:val="single"/>
        </w:rPr>
        <w:t>)(</w:t>
      </w:r>
      <w:proofErr w:type="gramEnd"/>
      <w:r w:rsidRPr="001840BE">
        <w:rPr>
          <w:u w:val="single"/>
        </w:rPr>
        <w:t xml:space="preserve">a) Line 8, column </w:t>
      </w:r>
      <w:r w:rsidR="001840BE" w:rsidRPr="001840BE">
        <w:rPr>
          <w:u w:val="single"/>
        </w:rPr>
        <w:t>E</w:t>
      </w:r>
      <w:r w:rsidRPr="001840BE">
        <w:rPr>
          <w:u w:val="single"/>
        </w:rPr>
        <w:t xml:space="preserve"> on Part IX-A, Statement of Revenues and Expenses</w:t>
      </w:r>
      <w:r w:rsidR="001840BE" w:rsidRPr="001840BE">
        <w:rPr>
          <w:u w:val="single"/>
        </w:rPr>
        <w:t>.</w:t>
      </w:r>
      <w:r w:rsidR="001840BE" w:rsidRPr="001840BE">
        <w:t xml:space="preserve"> </w:t>
      </w:r>
      <w:r w:rsidRPr="001840BE">
        <w:t xml:space="preserve"> </w:t>
      </w:r>
    </w:p>
    <w:p w:rsidR="006E1C31" w:rsidRPr="001840BE" w:rsidRDefault="006E1C31" w:rsidP="009A7F50">
      <w:pPr>
        <w:tabs>
          <w:tab w:val="left" w:pos="1470"/>
        </w:tabs>
      </w:pPr>
      <w:r w:rsidRPr="001840BE">
        <w:t>$7,500</w:t>
      </w:r>
      <w:r w:rsidR="001840BE" w:rsidRPr="001840BE">
        <w:t xml:space="preserve"> x .02 = $150</w:t>
      </w:r>
    </w:p>
    <w:p w:rsidR="009A7F50" w:rsidRPr="001840BE" w:rsidRDefault="009A7F50" w:rsidP="009A7F50">
      <w:pPr>
        <w:tabs>
          <w:tab w:val="left" w:pos="1470"/>
        </w:tabs>
        <w:rPr>
          <w:u w:val="single"/>
        </w:rPr>
      </w:pPr>
      <w:r w:rsidRPr="001840BE">
        <w:rPr>
          <w:u w:val="single"/>
        </w:rPr>
        <w:t>6b (</w:t>
      </w:r>
      <w:proofErr w:type="spellStart"/>
      <w:r w:rsidRPr="001840BE">
        <w:rPr>
          <w:u w:val="single"/>
        </w:rPr>
        <w:t>i</w:t>
      </w:r>
      <w:proofErr w:type="spellEnd"/>
      <w:proofErr w:type="gramStart"/>
      <w:r w:rsidRPr="001840BE">
        <w:rPr>
          <w:u w:val="single"/>
        </w:rPr>
        <w:t>)(</w:t>
      </w:r>
      <w:proofErr w:type="gramEnd"/>
      <w:r w:rsidRPr="001840BE">
        <w:rPr>
          <w:u w:val="single"/>
        </w:rPr>
        <w:t>b) “Attach a list showing the name and amount contributed by each person, company, or organization whose gifts totaled more than the 2% amount.”</w:t>
      </w:r>
    </w:p>
    <w:tbl>
      <w:tblPr>
        <w:tblStyle w:val="TableGrid"/>
        <w:tblW w:w="0" w:type="auto"/>
        <w:tblInd w:w="1135" w:type="dxa"/>
        <w:tblLook w:val="04A0" w:firstRow="1" w:lastRow="0" w:firstColumn="1" w:lastColumn="0" w:noHBand="0" w:noVBand="1"/>
      </w:tblPr>
      <w:tblGrid>
        <w:gridCol w:w="918"/>
        <w:gridCol w:w="2700"/>
        <w:gridCol w:w="1080"/>
      </w:tblGrid>
      <w:tr w:rsidR="001840BE" w:rsidRPr="001840BE" w:rsidTr="00DC2449">
        <w:tc>
          <w:tcPr>
            <w:tcW w:w="918" w:type="dxa"/>
            <w:shd w:val="clear" w:color="auto" w:fill="D9D9D9" w:themeFill="background1" w:themeFillShade="D9"/>
          </w:tcPr>
          <w:p w:rsidR="001840BE" w:rsidRPr="001840BE" w:rsidRDefault="001840BE" w:rsidP="009A7F50">
            <w:pPr>
              <w:tabs>
                <w:tab w:val="left" w:pos="1470"/>
              </w:tabs>
              <w:rPr>
                <w:b/>
              </w:rPr>
            </w:pPr>
            <w:r w:rsidRPr="001840BE">
              <w:rPr>
                <w:b/>
              </w:rPr>
              <w:t>Year</w:t>
            </w:r>
          </w:p>
        </w:tc>
        <w:tc>
          <w:tcPr>
            <w:tcW w:w="2700" w:type="dxa"/>
            <w:shd w:val="clear" w:color="auto" w:fill="D9D9D9" w:themeFill="background1" w:themeFillShade="D9"/>
          </w:tcPr>
          <w:p w:rsidR="001840BE" w:rsidRPr="001840BE" w:rsidRDefault="001840BE" w:rsidP="009A7F50">
            <w:pPr>
              <w:tabs>
                <w:tab w:val="left" w:pos="1470"/>
              </w:tabs>
              <w:rPr>
                <w:b/>
              </w:rPr>
            </w:pPr>
            <w:r w:rsidRPr="001840BE">
              <w:rPr>
                <w:b/>
              </w:rPr>
              <w:t>Name</w:t>
            </w:r>
          </w:p>
        </w:tc>
        <w:tc>
          <w:tcPr>
            <w:tcW w:w="1080" w:type="dxa"/>
            <w:shd w:val="clear" w:color="auto" w:fill="D9D9D9" w:themeFill="background1" w:themeFillShade="D9"/>
          </w:tcPr>
          <w:p w:rsidR="001840BE" w:rsidRPr="001840BE" w:rsidRDefault="001840BE" w:rsidP="009A7F50">
            <w:pPr>
              <w:tabs>
                <w:tab w:val="left" w:pos="1470"/>
              </w:tabs>
              <w:rPr>
                <w:b/>
              </w:rPr>
            </w:pPr>
            <w:r w:rsidRPr="001840BE">
              <w:rPr>
                <w:b/>
              </w:rPr>
              <w:t>Amount</w:t>
            </w:r>
          </w:p>
        </w:tc>
      </w:tr>
      <w:tr w:rsidR="001840BE" w:rsidTr="00DC2449">
        <w:tc>
          <w:tcPr>
            <w:tcW w:w="918" w:type="dxa"/>
          </w:tcPr>
          <w:p w:rsidR="001840BE" w:rsidRDefault="001840BE" w:rsidP="009A7F50">
            <w:pPr>
              <w:tabs>
                <w:tab w:val="left" w:pos="1470"/>
              </w:tabs>
            </w:pPr>
            <w:r>
              <w:t>2010</w:t>
            </w:r>
          </w:p>
        </w:tc>
        <w:tc>
          <w:tcPr>
            <w:tcW w:w="2700" w:type="dxa"/>
          </w:tcPr>
          <w:p w:rsidR="001840BE" w:rsidRDefault="001840BE" w:rsidP="009A7F50">
            <w:pPr>
              <w:tabs>
                <w:tab w:val="left" w:pos="1470"/>
              </w:tabs>
            </w:pPr>
            <w:r>
              <w:t>CSDVRS</w:t>
            </w:r>
          </w:p>
        </w:tc>
        <w:tc>
          <w:tcPr>
            <w:tcW w:w="1080" w:type="dxa"/>
          </w:tcPr>
          <w:p w:rsidR="001840BE" w:rsidRDefault="001840BE" w:rsidP="009A7F50">
            <w:pPr>
              <w:tabs>
                <w:tab w:val="left" w:pos="1470"/>
              </w:tabs>
            </w:pPr>
            <w:r>
              <w:t>$1,500</w:t>
            </w:r>
          </w:p>
        </w:tc>
        <w:bookmarkStart w:id="0" w:name="_GoBack"/>
        <w:bookmarkEnd w:id="0"/>
      </w:tr>
      <w:tr w:rsidR="001840BE" w:rsidTr="00DC2449">
        <w:tc>
          <w:tcPr>
            <w:tcW w:w="918" w:type="dxa"/>
          </w:tcPr>
          <w:p w:rsidR="001840BE" w:rsidRDefault="001840BE" w:rsidP="009A7F50">
            <w:pPr>
              <w:tabs>
                <w:tab w:val="left" w:pos="1470"/>
              </w:tabs>
            </w:pPr>
          </w:p>
        </w:tc>
        <w:tc>
          <w:tcPr>
            <w:tcW w:w="2700" w:type="dxa"/>
          </w:tcPr>
          <w:p w:rsidR="001840BE" w:rsidRDefault="001840BE" w:rsidP="001840BE">
            <w:pPr>
              <w:tabs>
                <w:tab w:val="left" w:pos="1470"/>
              </w:tabs>
            </w:pPr>
            <w:r>
              <w:t>Sorenson Communication</w:t>
            </w:r>
          </w:p>
        </w:tc>
        <w:tc>
          <w:tcPr>
            <w:tcW w:w="1080" w:type="dxa"/>
          </w:tcPr>
          <w:p w:rsidR="001840BE" w:rsidRDefault="001840BE" w:rsidP="009A7F50">
            <w:pPr>
              <w:tabs>
                <w:tab w:val="left" w:pos="1470"/>
              </w:tabs>
            </w:pPr>
            <w:r>
              <w:t>$700</w:t>
            </w:r>
          </w:p>
        </w:tc>
      </w:tr>
      <w:tr w:rsidR="001840BE" w:rsidTr="00DC2449">
        <w:tc>
          <w:tcPr>
            <w:tcW w:w="918" w:type="dxa"/>
          </w:tcPr>
          <w:p w:rsidR="001840BE" w:rsidRDefault="001840BE" w:rsidP="009A7F50">
            <w:pPr>
              <w:tabs>
                <w:tab w:val="left" w:pos="1470"/>
              </w:tabs>
            </w:pPr>
          </w:p>
        </w:tc>
        <w:tc>
          <w:tcPr>
            <w:tcW w:w="2700" w:type="dxa"/>
          </w:tcPr>
          <w:p w:rsidR="001840BE" w:rsidRDefault="001840BE" w:rsidP="009A7F50">
            <w:pPr>
              <w:tabs>
                <w:tab w:val="left" w:pos="1470"/>
              </w:tabs>
            </w:pPr>
            <w:r>
              <w:t>Purple Communication</w:t>
            </w:r>
          </w:p>
        </w:tc>
        <w:tc>
          <w:tcPr>
            <w:tcW w:w="1080" w:type="dxa"/>
          </w:tcPr>
          <w:p w:rsidR="001840BE" w:rsidRDefault="001840BE" w:rsidP="009A7F50">
            <w:pPr>
              <w:tabs>
                <w:tab w:val="left" w:pos="1470"/>
              </w:tabs>
            </w:pPr>
            <w:r>
              <w:t>$1,800</w:t>
            </w:r>
          </w:p>
        </w:tc>
      </w:tr>
      <w:tr w:rsidR="001840BE" w:rsidTr="00DC2449">
        <w:tc>
          <w:tcPr>
            <w:tcW w:w="918" w:type="dxa"/>
            <w:shd w:val="clear" w:color="auto" w:fill="D9D9D9" w:themeFill="background1" w:themeFillShade="D9"/>
          </w:tcPr>
          <w:p w:rsidR="001840BE" w:rsidRDefault="001840BE" w:rsidP="009A7F50">
            <w:pPr>
              <w:tabs>
                <w:tab w:val="left" w:pos="1470"/>
              </w:tabs>
            </w:pPr>
          </w:p>
        </w:tc>
        <w:tc>
          <w:tcPr>
            <w:tcW w:w="2700" w:type="dxa"/>
            <w:shd w:val="clear" w:color="auto" w:fill="D9D9D9" w:themeFill="background1" w:themeFillShade="D9"/>
          </w:tcPr>
          <w:p w:rsidR="001840BE" w:rsidRDefault="001840BE" w:rsidP="009A7F50">
            <w:pPr>
              <w:tabs>
                <w:tab w:val="left" w:pos="1470"/>
              </w:tabs>
            </w:pPr>
          </w:p>
        </w:tc>
        <w:tc>
          <w:tcPr>
            <w:tcW w:w="1080" w:type="dxa"/>
            <w:shd w:val="clear" w:color="auto" w:fill="D9D9D9" w:themeFill="background1" w:themeFillShade="D9"/>
          </w:tcPr>
          <w:p w:rsidR="001840BE" w:rsidRDefault="001840BE" w:rsidP="009A7F50">
            <w:pPr>
              <w:tabs>
                <w:tab w:val="left" w:pos="1470"/>
              </w:tabs>
            </w:pPr>
          </w:p>
        </w:tc>
      </w:tr>
      <w:tr w:rsidR="001840BE" w:rsidTr="00DC2449">
        <w:tc>
          <w:tcPr>
            <w:tcW w:w="918" w:type="dxa"/>
          </w:tcPr>
          <w:p w:rsidR="001840BE" w:rsidRDefault="001840BE" w:rsidP="009A7F50">
            <w:pPr>
              <w:tabs>
                <w:tab w:val="left" w:pos="1470"/>
              </w:tabs>
            </w:pPr>
            <w:r>
              <w:t>2012</w:t>
            </w:r>
          </w:p>
        </w:tc>
        <w:tc>
          <w:tcPr>
            <w:tcW w:w="2700" w:type="dxa"/>
          </w:tcPr>
          <w:p w:rsidR="001840BE" w:rsidRDefault="001840BE" w:rsidP="009A7F50">
            <w:pPr>
              <w:tabs>
                <w:tab w:val="left" w:pos="1470"/>
              </w:tabs>
            </w:pPr>
            <w:r>
              <w:t>Purple Communication</w:t>
            </w:r>
          </w:p>
        </w:tc>
        <w:tc>
          <w:tcPr>
            <w:tcW w:w="1080" w:type="dxa"/>
          </w:tcPr>
          <w:p w:rsidR="001840BE" w:rsidRDefault="001840BE" w:rsidP="009A7F50">
            <w:pPr>
              <w:tabs>
                <w:tab w:val="left" w:pos="1470"/>
              </w:tabs>
            </w:pPr>
            <w:r>
              <w:t>$1,200</w:t>
            </w:r>
          </w:p>
        </w:tc>
      </w:tr>
      <w:tr w:rsidR="001840BE" w:rsidTr="00DC2449">
        <w:tc>
          <w:tcPr>
            <w:tcW w:w="918" w:type="dxa"/>
          </w:tcPr>
          <w:p w:rsidR="001840BE" w:rsidRDefault="001840BE" w:rsidP="009A7F50">
            <w:pPr>
              <w:tabs>
                <w:tab w:val="left" w:pos="1470"/>
              </w:tabs>
            </w:pPr>
          </w:p>
        </w:tc>
        <w:tc>
          <w:tcPr>
            <w:tcW w:w="2700" w:type="dxa"/>
          </w:tcPr>
          <w:p w:rsidR="001840BE" w:rsidRDefault="001840BE" w:rsidP="009A7F50">
            <w:pPr>
              <w:tabs>
                <w:tab w:val="left" w:pos="1470"/>
              </w:tabs>
            </w:pPr>
            <w:proofErr w:type="spellStart"/>
            <w:r>
              <w:t>CaptionCall</w:t>
            </w:r>
            <w:proofErr w:type="spellEnd"/>
          </w:p>
        </w:tc>
        <w:tc>
          <w:tcPr>
            <w:tcW w:w="1080" w:type="dxa"/>
          </w:tcPr>
          <w:p w:rsidR="001840BE" w:rsidRDefault="001840BE" w:rsidP="009A7F50">
            <w:pPr>
              <w:tabs>
                <w:tab w:val="left" w:pos="1470"/>
              </w:tabs>
            </w:pPr>
            <w:r>
              <w:t>$1,800</w:t>
            </w:r>
          </w:p>
        </w:tc>
      </w:tr>
      <w:tr w:rsidR="001840BE" w:rsidTr="00DC2449">
        <w:tc>
          <w:tcPr>
            <w:tcW w:w="918" w:type="dxa"/>
          </w:tcPr>
          <w:p w:rsidR="001840BE" w:rsidRDefault="001840BE" w:rsidP="009A7F50">
            <w:pPr>
              <w:tabs>
                <w:tab w:val="left" w:pos="1470"/>
              </w:tabs>
            </w:pPr>
          </w:p>
        </w:tc>
        <w:tc>
          <w:tcPr>
            <w:tcW w:w="2700" w:type="dxa"/>
          </w:tcPr>
          <w:p w:rsidR="001840BE" w:rsidRDefault="001840BE" w:rsidP="009A7F50">
            <w:pPr>
              <w:tabs>
                <w:tab w:val="left" w:pos="1470"/>
              </w:tabs>
            </w:pPr>
            <w:r>
              <w:t>ZVRS</w:t>
            </w:r>
          </w:p>
        </w:tc>
        <w:tc>
          <w:tcPr>
            <w:tcW w:w="1080" w:type="dxa"/>
          </w:tcPr>
          <w:p w:rsidR="001840BE" w:rsidRDefault="001840BE" w:rsidP="009A7F50">
            <w:pPr>
              <w:tabs>
                <w:tab w:val="left" w:pos="1470"/>
              </w:tabs>
            </w:pPr>
            <w:r>
              <w:t>$500</w:t>
            </w:r>
          </w:p>
        </w:tc>
      </w:tr>
    </w:tbl>
    <w:p w:rsidR="001840BE" w:rsidRDefault="001840BE" w:rsidP="009A7F50">
      <w:pPr>
        <w:tabs>
          <w:tab w:val="left" w:pos="1470"/>
        </w:tabs>
      </w:pPr>
    </w:p>
    <w:sectPr w:rsidR="001840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93" w:rsidRDefault="00EA4293" w:rsidP="000E61EC">
      <w:pPr>
        <w:spacing w:after="0" w:line="240" w:lineRule="auto"/>
      </w:pPr>
      <w:r>
        <w:separator/>
      </w:r>
    </w:p>
  </w:endnote>
  <w:endnote w:type="continuationSeparator" w:id="0">
    <w:p w:rsidR="00EA4293" w:rsidRDefault="00EA4293" w:rsidP="000E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168289"/>
      <w:docPartObj>
        <w:docPartGallery w:val="Page Numbers (Bottom of Page)"/>
        <w:docPartUnique/>
      </w:docPartObj>
    </w:sdtPr>
    <w:sdtContent>
      <w:p w:rsidR="00DC2449" w:rsidRDefault="00DC2449">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rsidR="00DC2449" w:rsidRDefault="00DC2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93" w:rsidRDefault="00EA4293" w:rsidP="000E61EC">
      <w:pPr>
        <w:spacing w:after="0" w:line="240" w:lineRule="auto"/>
      </w:pPr>
      <w:r>
        <w:separator/>
      </w:r>
    </w:p>
  </w:footnote>
  <w:footnote w:type="continuationSeparator" w:id="0">
    <w:p w:rsidR="00EA4293" w:rsidRDefault="00EA4293" w:rsidP="000E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EC" w:rsidRDefault="00DC2449" w:rsidP="00DC2449">
    <w:r w:rsidRPr="00D93DD5">
      <w:rPr>
        <w:sz w:val="20"/>
        <w:szCs w:val="20"/>
      </w:rPr>
      <w:t>National Association of State Agencies of the Deaf and Hard of Hearing (NASADHH)</w:t>
    </w:r>
    <w:r w:rsidRPr="00D93DD5">
      <w:rPr>
        <w:sz w:val="20"/>
        <w:szCs w:val="20"/>
      </w:rPr>
      <w:tab/>
      <w:t>EIN: 27-2969298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D6"/>
    <w:rsid w:val="0001196B"/>
    <w:rsid w:val="00095E07"/>
    <w:rsid w:val="000E61EC"/>
    <w:rsid w:val="001840BE"/>
    <w:rsid w:val="001A2374"/>
    <w:rsid w:val="0027187D"/>
    <w:rsid w:val="00271B65"/>
    <w:rsid w:val="00301CD8"/>
    <w:rsid w:val="003119F5"/>
    <w:rsid w:val="00386632"/>
    <w:rsid w:val="004810DA"/>
    <w:rsid w:val="005355B5"/>
    <w:rsid w:val="005C05A7"/>
    <w:rsid w:val="005E4ED6"/>
    <w:rsid w:val="00610BD8"/>
    <w:rsid w:val="006D757B"/>
    <w:rsid w:val="006E1C31"/>
    <w:rsid w:val="00913715"/>
    <w:rsid w:val="009A7F50"/>
    <w:rsid w:val="009C06B8"/>
    <w:rsid w:val="00A572EC"/>
    <w:rsid w:val="00AB6E61"/>
    <w:rsid w:val="00AD0A88"/>
    <w:rsid w:val="00BE03F2"/>
    <w:rsid w:val="00D039E3"/>
    <w:rsid w:val="00D729C7"/>
    <w:rsid w:val="00D93DD5"/>
    <w:rsid w:val="00DC2449"/>
    <w:rsid w:val="00E27017"/>
    <w:rsid w:val="00E4653A"/>
    <w:rsid w:val="00EA4293"/>
    <w:rsid w:val="00EC1502"/>
    <w:rsid w:val="00F0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EC"/>
  </w:style>
  <w:style w:type="paragraph" w:styleId="Footer">
    <w:name w:val="footer"/>
    <w:basedOn w:val="Normal"/>
    <w:link w:val="FooterChar"/>
    <w:uiPriority w:val="99"/>
    <w:unhideWhenUsed/>
    <w:rsid w:val="000E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EC"/>
  </w:style>
  <w:style w:type="paragraph" w:styleId="BalloonText">
    <w:name w:val="Balloon Text"/>
    <w:basedOn w:val="Normal"/>
    <w:link w:val="BalloonTextChar"/>
    <w:uiPriority w:val="99"/>
    <w:semiHidden/>
    <w:unhideWhenUsed/>
    <w:rsid w:val="000E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EC"/>
  </w:style>
  <w:style w:type="paragraph" w:styleId="Footer">
    <w:name w:val="footer"/>
    <w:basedOn w:val="Normal"/>
    <w:link w:val="FooterChar"/>
    <w:uiPriority w:val="99"/>
    <w:unhideWhenUsed/>
    <w:rsid w:val="000E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EC"/>
  </w:style>
  <w:style w:type="paragraph" w:styleId="BalloonText">
    <w:name w:val="Balloon Text"/>
    <w:basedOn w:val="Normal"/>
    <w:link w:val="BalloonTextChar"/>
    <w:uiPriority w:val="99"/>
    <w:semiHidden/>
    <w:unhideWhenUsed/>
    <w:rsid w:val="000E6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04"/>
    <w:rsid w:val="00096C81"/>
    <w:rsid w:val="0083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C0354983D402187EAF3C5F825C5DF">
    <w:name w:val="6AEC0354983D402187EAF3C5F825C5DF"/>
    <w:rsid w:val="008311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EC0354983D402187EAF3C5F825C5DF">
    <w:name w:val="6AEC0354983D402187EAF3C5F825C5DF"/>
    <w:rsid w:val="008311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04E7-0EED-45E4-A94E-2467ED8D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 Eric (ODHH/DSHS)</dc:creator>
  <cp:lastModifiedBy>Raff, Eric (ODHH/DSHS)</cp:lastModifiedBy>
  <cp:revision>5</cp:revision>
  <dcterms:created xsi:type="dcterms:W3CDTF">2012-07-10T14:14:00Z</dcterms:created>
  <dcterms:modified xsi:type="dcterms:W3CDTF">2012-08-14T00:28:00Z</dcterms:modified>
</cp:coreProperties>
</file>